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85" w:rsidRPr="00F96D85" w:rsidRDefault="00F96D85" w:rsidP="00F96D85">
      <w:pPr>
        <w:jc w:val="center"/>
        <w:rPr>
          <w:rFonts w:ascii="Times New Roman" w:hAnsi="Times New Roman" w:cs="Times New Roman"/>
          <w:b/>
          <w:bCs/>
          <w:sz w:val="24"/>
          <w:szCs w:val="24"/>
        </w:rPr>
      </w:pPr>
      <w:r w:rsidRPr="00F96D85">
        <w:rPr>
          <w:rFonts w:ascii="Times New Roman" w:hAnsi="Times New Roman" w:cs="Times New Roman"/>
          <w:b/>
          <w:sz w:val="24"/>
          <w:szCs w:val="24"/>
          <w:shd w:val="clear" w:color="auto" w:fill="FFFFFF"/>
        </w:rPr>
        <w:t>ADVANCE BUSINESS &amp; FINANCIAL MANAGEMENT</w:t>
      </w:r>
    </w:p>
    <w:tbl>
      <w:tblPr>
        <w:tblStyle w:val="TableGrid"/>
        <w:tblW w:w="0" w:type="auto"/>
        <w:tblInd w:w="0" w:type="dxa"/>
        <w:tblLook w:val="04A0" w:firstRow="1" w:lastRow="0" w:firstColumn="1" w:lastColumn="0" w:noHBand="0" w:noVBand="1"/>
      </w:tblPr>
      <w:tblGrid>
        <w:gridCol w:w="988"/>
        <w:gridCol w:w="8028"/>
      </w:tblGrid>
      <w:tr w:rsidR="00F96D85" w:rsidRPr="00F96D85" w:rsidTr="00210D2D">
        <w:tc>
          <w:tcPr>
            <w:tcW w:w="988" w:type="dxa"/>
            <w:tcBorders>
              <w:top w:val="single" w:sz="4" w:space="0" w:color="auto"/>
              <w:left w:val="single" w:sz="4" w:space="0" w:color="auto"/>
              <w:bottom w:val="single" w:sz="4" w:space="0" w:color="auto"/>
              <w:right w:val="single" w:sz="4" w:space="0" w:color="auto"/>
            </w:tcBorders>
            <w:hideMark/>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eastAsia="Times New Roman" w:hAnsi="Times New Roman" w:cs="Times New Roman"/>
                <w:b/>
                <w:bCs/>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eastAsia="Times New Roman" w:hAnsi="Times New Roman" w:cs="Times New Roman"/>
                <w:b/>
                <w:bCs/>
                <w:sz w:val="24"/>
                <w:szCs w:val="24"/>
                <w:lang w:eastAsia="en-IN"/>
              </w:rPr>
              <w:t>Important Notifications</w:t>
            </w:r>
          </w:p>
        </w:tc>
      </w:tr>
      <w:tr w:rsidR="00F96D85" w:rsidRPr="00F96D85" w:rsidTr="00210D2D">
        <w:tc>
          <w:tcPr>
            <w:tcW w:w="988" w:type="dxa"/>
            <w:tcBorders>
              <w:top w:val="single" w:sz="4" w:space="0" w:color="auto"/>
              <w:left w:val="single" w:sz="4" w:space="0" w:color="auto"/>
              <w:bottom w:val="single" w:sz="4" w:space="0" w:color="auto"/>
              <w:right w:val="single" w:sz="4" w:space="0" w:color="auto"/>
            </w:tcBorders>
            <w:hideMark/>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hAnsi="Times New Roman" w:cs="Times New Roman"/>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hAnsi="Times New Roman" w:cs="Times New Roman"/>
                <w:sz w:val="24"/>
                <w:szCs w:val="24"/>
              </w:rPr>
              <w:t>Investments in Alternative Investment Funds (AIFs)</w:t>
            </w:r>
          </w:p>
        </w:tc>
      </w:tr>
      <w:tr w:rsidR="00F96D85" w:rsidRPr="00F96D85" w:rsidTr="00210D2D">
        <w:tc>
          <w:tcPr>
            <w:tcW w:w="988" w:type="dxa"/>
            <w:tcBorders>
              <w:top w:val="single" w:sz="4" w:space="0" w:color="auto"/>
              <w:left w:val="single" w:sz="4" w:space="0" w:color="auto"/>
              <w:bottom w:val="single" w:sz="4" w:space="0" w:color="auto"/>
              <w:right w:val="single" w:sz="4" w:space="0" w:color="auto"/>
            </w:tcBorders>
            <w:hideMark/>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hAnsi="Times New Roman" w:cs="Times New Roman"/>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F96D85" w:rsidRPr="00F96D85" w:rsidRDefault="00F96D85" w:rsidP="00210D2D">
            <w:pPr>
              <w:spacing w:line="240" w:lineRule="auto"/>
              <w:rPr>
                <w:rFonts w:ascii="Times New Roman" w:hAnsi="Times New Roman" w:cs="Times New Roman"/>
                <w:sz w:val="24"/>
                <w:szCs w:val="24"/>
              </w:rPr>
            </w:pPr>
            <w:r w:rsidRPr="00F96D85">
              <w:rPr>
                <w:rFonts w:ascii="Times New Roman" w:hAnsi="Times New Roman" w:cs="Times New Roman"/>
                <w:sz w:val="24"/>
                <w:szCs w:val="24"/>
              </w:rPr>
              <w:t>Banks' Exposure to Capital Market - Issue of Irrevocable Payment Commitments (IPCs)</w:t>
            </w:r>
          </w:p>
        </w:tc>
      </w:tr>
    </w:tbl>
    <w:p w:rsidR="00F32AEA" w:rsidRDefault="00AB1E33">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F96D85" w:rsidRDefault="00F96D85">
      <w:pPr>
        <w:rPr>
          <w:rFonts w:ascii="Times New Roman" w:hAnsi="Times New Roman" w:cs="Times New Roman"/>
          <w:sz w:val="24"/>
          <w:szCs w:val="24"/>
        </w:rPr>
      </w:pPr>
    </w:p>
    <w:p w:rsidR="00097D4C" w:rsidRPr="00097D4C" w:rsidRDefault="00097D4C" w:rsidP="00097D4C">
      <w:pPr>
        <w:pStyle w:val="head"/>
        <w:jc w:val="both"/>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RBI/2023-24/140</w:t>
      </w:r>
      <w:r>
        <w:rPr>
          <w:rFonts w:ascii="Arial" w:hAnsi="Arial" w:cs="Arial"/>
          <w:color w:val="000000"/>
          <w:sz w:val="20"/>
          <w:szCs w:val="20"/>
        </w:rPr>
        <w:br/>
        <w:t>DOR.STR.REC.85/21.04.048/2023-24</w:t>
      </w:r>
    </w:p>
    <w:p w:rsidR="00097D4C" w:rsidRDefault="00097D4C" w:rsidP="00097D4C">
      <w:pPr>
        <w:pStyle w:val="NormalWeb"/>
        <w:jc w:val="right"/>
        <w:rPr>
          <w:rFonts w:ascii="Arial" w:hAnsi="Arial" w:cs="Arial"/>
          <w:color w:val="000000"/>
          <w:sz w:val="20"/>
          <w:szCs w:val="20"/>
        </w:rPr>
      </w:pPr>
      <w:r>
        <w:rPr>
          <w:rFonts w:ascii="Arial" w:hAnsi="Arial" w:cs="Arial"/>
          <w:color w:val="000000"/>
          <w:sz w:val="20"/>
          <w:szCs w:val="20"/>
        </w:rPr>
        <w:t>March 27, 2024</w:t>
      </w:r>
    </w:p>
    <w:p w:rsidR="00097D4C" w:rsidRDefault="00097D4C" w:rsidP="00097D4C">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proofErr w:type="gramStart"/>
      <w:r>
        <w:rPr>
          <w:rFonts w:ascii="Arial" w:hAnsi="Arial" w:cs="Arial"/>
          <w:color w:val="000000"/>
          <w:sz w:val="20"/>
          <w:szCs w:val="20"/>
        </w:rPr>
        <w:t>)</w:t>
      </w:r>
      <w:proofErr w:type="gramEnd"/>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097D4C" w:rsidRDefault="00097D4C" w:rsidP="00097D4C">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u w:val="none"/>
          </w:rPr>
          <w:t>circular DOR.STR.REC.58/21.04.048/2023-24 dated December 19, 2023</w:t>
        </w:r>
      </w:hyperlink>
      <w:r>
        <w:rPr>
          <w:rFonts w:ascii="Arial" w:hAnsi="Arial" w:cs="Arial"/>
          <w:color w:val="000000"/>
          <w:sz w:val="20"/>
          <w:szCs w:val="20"/>
        </w:rPr>
        <w:t xml:space="preserve"> (‘Circular’) on the captioned subject, in terms of which instructions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to address certain regulatory concerns relating to investment by regulated entities (REs) in the AIFs.</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 xml:space="preserve">2. With a view to ensuring uniformity in implementation among the REs, and to address the concerns flagged in various representations received from stakeholders, it </w:t>
      </w:r>
      <w:proofErr w:type="gramStart"/>
      <w:r>
        <w:rPr>
          <w:rFonts w:ascii="Arial" w:hAnsi="Arial" w:cs="Arial"/>
          <w:color w:val="000000"/>
          <w:sz w:val="20"/>
          <w:szCs w:val="20"/>
        </w:rPr>
        <w:t>is advised</w:t>
      </w:r>
      <w:proofErr w:type="gramEnd"/>
      <w:r>
        <w:rPr>
          <w:rFonts w:ascii="Arial" w:hAnsi="Arial" w:cs="Arial"/>
          <w:color w:val="000000"/>
          <w:sz w:val="20"/>
          <w:szCs w:val="20"/>
        </w:rPr>
        <w:t xml:space="preserve"> as under:</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Downstream investments referred to in paragraph 2 (</w:t>
      </w:r>
      <w:proofErr w:type="spellStart"/>
      <w:r>
        <w:rPr>
          <w:rFonts w:ascii="Arial" w:hAnsi="Arial" w:cs="Arial"/>
          <w:color w:val="000000"/>
          <w:sz w:val="20"/>
          <w:szCs w:val="20"/>
        </w:rPr>
        <w:t>i</w:t>
      </w:r>
      <w:proofErr w:type="spellEnd"/>
      <w:r>
        <w:rPr>
          <w:rFonts w:ascii="Arial" w:hAnsi="Arial" w:cs="Arial"/>
          <w:color w:val="000000"/>
          <w:sz w:val="20"/>
          <w:szCs w:val="20"/>
        </w:rPr>
        <w:t>) of the Circular shall exclude investments in equity shares of the debtor company of the RE, but shall include all other investments, including investment in hybrid instruments.</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097D4C" w:rsidRDefault="00097D4C" w:rsidP="00097D4C">
      <w:pPr>
        <w:pStyle w:val="NormalWeb"/>
        <w:jc w:val="both"/>
        <w:rPr>
          <w:rFonts w:ascii="Arial" w:hAnsi="Arial" w:cs="Arial"/>
          <w:color w:val="000000"/>
          <w:sz w:val="20"/>
          <w:szCs w:val="20"/>
        </w:rPr>
      </w:pPr>
      <w:proofErr w:type="gramStart"/>
      <w:r>
        <w:rPr>
          <w:rFonts w:ascii="Arial" w:hAnsi="Arial" w:cs="Arial"/>
          <w:color w:val="000000"/>
          <w:sz w:val="20"/>
          <w:szCs w:val="20"/>
        </w:rPr>
        <w:t>(iv) Further</w:t>
      </w:r>
      <w:proofErr w:type="gramEnd"/>
      <w:r>
        <w:rPr>
          <w:rFonts w:ascii="Arial" w:hAnsi="Arial" w:cs="Arial"/>
          <w:color w:val="000000"/>
          <w:sz w:val="20"/>
          <w:szCs w:val="20"/>
        </w:rPr>
        <w:t xml:space="preserve"> with regard to paragraph 3 of the Circular:</w:t>
      </w:r>
    </w:p>
    <w:p w:rsidR="00097D4C" w:rsidRDefault="00097D4C" w:rsidP="00097D4C">
      <w:pPr>
        <w:pStyle w:val="NormalWeb"/>
        <w:numPr>
          <w:ilvl w:val="0"/>
          <w:numId w:val="1"/>
        </w:numPr>
        <w:ind w:left="0"/>
        <w:jc w:val="both"/>
        <w:rPr>
          <w:rFonts w:ascii="Arial" w:hAnsi="Arial" w:cs="Arial"/>
          <w:color w:val="000000"/>
          <w:sz w:val="20"/>
          <w:szCs w:val="20"/>
        </w:rPr>
      </w:pPr>
      <w:proofErr w:type="gramStart"/>
      <w:r>
        <w:rPr>
          <w:rFonts w:ascii="Arial" w:hAnsi="Arial" w:cs="Arial"/>
          <w:color w:val="000000"/>
          <w:sz w:val="20"/>
          <w:szCs w:val="20"/>
        </w:rPr>
        <w:t>proposed</w:t>
      </w:r>
      <w:proofErr w:type="gramEnd"/>
      <w:r>
        <w:rPr>
          <w:rFonts w:ascii="Arial" w:hAnsi="Arial" w:cs="Arial"/>
          <w:color w:val="000000"/>
          <w:sz w:val="20"/>
          <w:szCs w:val="20"/>
        </w:rPr>
        <w:t xml:space="preserve"> deduction from capital shall take place equally from both Tier-1 and Tier-2 capital.</w:t>
      </w:r>
    </w:p>
    <w:p w:rsidR="00097D4C" w:rsidRDefault="00097D4C" w:rsidP="00097D4C">
      <w:pPr>
        <w:pStyle w:val="NormalWeb"/>
        <w:numPr>
          <w:ilvl w:val="0"/>
          <w:numId w:val="1"/>
        </w:numPr>
        <w:ind w:left="0"/>
        <w:jc w:val="both"/>
        <w:rPr>
          <w:rFonts w:ascii="Arial" w:hAnsi="Arial" w:cs="Arial"/>
          <w:color w:val="000000"/>
          <w:sz w:val="20"/>
          <w:szCs w:val="20"/>
        </w:rPr>
      </w:pPr>
      <w:proofErr w:type="gramStart"/>
      <w:r>
        <w:rPr>
          <w:rFonts w:ascii="Arial" w:hAnsi="Arial" w:cs="Arial"/>
          <w:color w:val="000000"/>
          <w:sz w:val="20"/>
          <w:szCs w:val="20"/>
        </w:rPr>
        <w:t>reference</w:t>
      </w:r>
      <w:proofErr w:type="gramEnd"/>
      <w:r>
        <w:rPr>
          <w:rFonts w:ascii="Arial" w:hAnsi="Arial" w:cs="Arial"/>
          <w:color w:val="000000"/>
          <w:sz w:val="20"/>
          <w:szCs w:val="20"/>
        </w:rPr>
        <w:t xml:space="preserve"> to investment in subordinated units of AIF Scheme includes all forms of subordinated exposures, including investment in the nature of sponsor units.</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 xml:space="preserve">(v) Investments </w:t>
      </w:r>
      <w:proofErr w:type="gramStart"/>
      <w:r>
        <w:rPr>
          <w:rFonts w:ascii="Arial" w:hAnsi="Arial" w:cs="Arial"/>
          <w:color w:val="000000"/>
          <w:sz w:val="20"/>
          <w:szCs w:val="20"/>
        </w:rPr>
        <w:t>by REs in AIFs through intermediaries such as fund of funds or mutual funds</w:t>
      </w:r>
      <w:proofErr w:type="gramEnd"/>
      <w:r>
        <w:rPr>
          <w:rFonts w:ascii="Arial" w:hAnsi="Arial" w:cs="Arial"/>
          <w:color w:val="000000"/>
          <w:sz w:val="20"/>
          <w:szCs w:val="20"/>
        </w:rPr>
        <w:t xml:space="preserve"> are not included in the scope of the Circular.</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 xml:space="preserve">3. The above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097D4C" w:rsidRDefault="00097D4C" w:rsidP="00097D4C">
      <w:pPr>
        <w:pStyle w:val="NormalWeb"/>
        <w:jc w:val="both"/>
        <w:rPr>
          <w:rFonts w:ascii="Arial" w:hAnsi="Arial" w:cs="Arial"/>
          <w:color w:val="000000"/>
          <w:sz w:val="20"/>
          <w:szCs w:val="20"/>
        </w:rPr>
      </w:pPr>
      <w:r>
        <w:rPr>
          <w:rFonts w:ascii="Arial" w:hAnsi="Arial" w:cs="Arial"/>
          <w:color w:val="000000"/>
          <w:sz w:val="20"/>
          <w:szCs w:val="20"/>
        </w:rPr>
        <w:t>Yours faithfully,</w:t>
      </w:r>
    </w:p>
    <w:p w:rsidR="00097D4C" w:rsidRDefault="00097D4C" w:rsidP="00097D4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F96D85" w:rsidRDefault="00097D4C">
      <w:pPr>
        <w:rPr>
          <w:rFonts w:ascii="Times New Roman" w:hAnsi="Times New Roman" w:cs="Times New Roman"/>
          <w:sz w:val="24"/>
          <w:szCs w:val="24"/>
        </w:rPr>
      </w:pPr>
      <w:r w:rsidRPr="00097D4C">
        <w:rPr>
          <w:rFonts w:ascii="Times New Roman" w:hAnsi="Times New Roman" w:cs="Times New Roman"/>
          <w:sz w:val="24"/>
          <w:szCs w:val="24"/>
        </w:rPr>
        <w:t xml:space="preserve">For more details, kindly </w:t>
      </w:r>
      <w:proofErr w:type="gramStart"/>
      <w:r w:rsidRPr="00097D4C">
        <w:rPr>
          <w:rFonts w:ascii="Times New Roman" w:hAnsi="Times New Roman" w:cs="Times New Roman"/>
          <w:sz w:val="24"/>
          <w:szCs w:val="24"/>
        </w:rPr>
        <w:t>refer:</w:t>
      </w:r>
      <w:proofErr w:type="gramEnd"/>
      <w:r>
        <w:rPr>
          <w:rFonts w:ascii="Times New Roman" w:hAnsi="Times New Roman" w:cs="Times New Roman"/>
          <w:sz w:val="24"/>
          <w:szCs w:val="24"/>
        </w:rPr>
        <w:t xml:space="preserve"> </w:t>
      </w:r>
      <w:hyperlink r:id="rId6" w:history="1">
        <w:r w:rsidRPr="00FA79CC">
          <w:rPr>
            <w:rStyle w:val="Hyperlink"/>
            <w:rFonts w:ascii="Times New Roman" w:hAnsi="Times New Roman" w:cs="Times New Roman"/>
            <w:sz w:val="24"/>
            <w:szCs w:val="24"/>
          </w:rPr>
          <w:t>https://www.rbi.org.in/Scripts/NotificationUser.aspx?Id=12639&amp;Mode=0</w:t>
        </w:r>
      </w:hyperlink>
      <w:r>
        <w:rPr>
          <w:rFonts w:ascii="Times New Roman" w:hAnsi="Times New Roman" w:cs="Times New Roman"/>
          <w:sz w:val="24"/>
          <w:szCs w:val="24"/>
        </w:rPr>
        <w:t xml:space="preserve"> </w:t>
      </w:r>
    </w:p>
    <w:p w:rsidR="00826BFA" w:rsidRDefault="00826BFA">
      <w:pPr>
        <w:rPr>
          <w:rFonts w:ascii="Times New Roman" w:hAnsi="Times New Roman" w:cs="Times New Roman"/>
          <w:sz w:val="24"/>
          <w:szCs w:val="24"/>
        </w:rPr>
      </w:pPr>
    </w:p>
    <w:p w:rsidR="00826BFA" w:rsidRPr="00826BFA" w:rsidRDefault="00826BFA" w:rsidP="00826BFA">
      <w:pPr>
        <w:pStyle w:val="head"/>
        <w:rPr>
          <w:rFonts w:ascii="Arial" w:hAnsi="Arial" w:cs="Arial"/>
          <w:b/>
          <w:bCs/>
          <w:color w:val="000000"/>
          <w:sz w:val="20"/>
          <w:szCs w:val="20"/>
        </w:rPr>
      </w:pPr>
      <w:r>
        <w:rPr>
          <w:rFonts w:ascii="Arial" w:hAnsi="Arial" w:cs="Arial"/>
          <w:b/>
          <w:bCs/>
          <w:color w:val="000000"/>
          <w:sz w:val="20"/>
          <w:szCs w:val="20"/>
        </w:rPr>
        <w:lastRenderedPageBreak/>
        <w:t>Bank</w:t>
      </w:r>
      <w:r>
        <w:rPr>
          <w:rFonts w:ascii="Arial" w:hAnsi="Arial" w:cs="Arial"/>
          <w:b/>
          <w:bCs/>
          <w:color w:val="000000"/>
          <w:sz w:val="20"/>
          <w:szCs w:val="20"/>
        </w:rPr>
        <w:t xml:space="preserve">s' Exposure to Capital Market - </w:t>
      </w:r>
      <w:r w:rsidRPr="00826BFA">
        <w:rPr>
          <w:rFonts w:ascii="Arial" w:hAnsi="Arial" w:cs="Arial"/>
          <w:b/>
          <w:bCs/>
          <w:color w:val="000000"/>
          <w:sz w:val="20"/>
          <w:szCs w:val="20"/>
        </w:rPr>
        <w:t>Issue of Irrevocable Payment Commitments (IPCs)</w:t>
      </w:r>
    </w:p>
    <w:p w:rsidR="00826BFA" w:rsidRDefault="00826BFA" w:rsidP="00826BFA">
      <w:pPr>
        <w:pStyle w:val="NormalWeb"/>
        <w:jc w:val="both"/>
        <w:rPr>
          <w:rFonts w:ascii="Arial" w:hAnsi="Arial" w:cs="Arial"/>
          <w:color w:val="000000"/>
          <w:sz w:val="20"/>
          <w:szCs w:val="20"/>
        </w:rPr>
      </w:pPr>
      <w:r>
        <w:rPr>
          <w:rFonts w:ascii="Arial" w:hAnsi="Arial" w:cs="Arial"/>
          <w:color w:val="000000"/>
          <w:sz w:val="20"/>
          <w:szCs w:val="20"/>
        </w:rPr>
        <w:t>RBI/2024-25/33</w:t>
      </w:r>
      <w:r>
        <w:rPr>
          <w:rFonts w:ascii="Arial" w:hAnsi="Arial" w:cs="Arial"/>
          <w:color w:val="000000"/>
          <w:sz w:val="20"/>
          <w:szCs w:val="20"/>
        </w:rPr>
        <w:br/>
        <w:t>DOR.CRE.REC.22/21.03.054/2024-25</w:t>
      </w:r>
    </w:p>
    <w:p w:rsidR="00826BFA" w:rsidRDefault="00826BFA" w:rsidP="00826BFA">
      <w:pPr>
        <w:pStyle w:val="NormalWeb"/>
        <w:jc w:val="right"/>
        <w:rPr>
          <w:rFonts w:ascii="Arial" w:hAnsi="Arial" w:cs="Arial"/>
          <w:color w:val="000000"/>
          <w:sz w:val="20"/>
          <w:szCs w:val="20"/>
        </w:rPr>
      </w:pPr>
      <w:r>
        <w:rPr>
          <w:rFonts w:ascii="Arial" w:hAnsi="Arial" w:cs="Arial"/>
          <w:color w:val="000000"/>
          <w:sz w:val="20"/>
          <w:szCs w:val="20"/>
        </w:rPr>
        <w:t>May 03, 2024</w:t>
      </w:r>
    </w:p>
    <w:p w:rsidR="00826BFA" w:rsidRDefault="00826BFA" w:rsidP="00826BFA">
      <w:pPr>
        <w:pStyle w:val="NormalWeb"/>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RRBs)</w:t>
      </w:r>
    </w:p>
    <w:p w:rsidR="00826BFA" w:rsidRDefault="00826BFA" w:rsidP="00826BFA">
      <w:pPr>
        <w:pStyle w:val="NormalWeb"/>
        <w:jc w:val="both"/>
        <w:rPr>
          <w:rFonts w:ascii="Arial" w:hAnsi="Arial" w:cs="Arial"/>
          <w:color w:val="000000"/>
          <w:sz w:val="20"/>
          <w:szCs w:val="20"/>
        </w:rPr>
      </w:pPr>
      <w:r>
        <w:rPr>
          <w:rFonts w:ascii="Arial" w:hAnsi="Arial" w:cs="Arial"/>
          <w:color w:val="000000"/>
          <w:sz w:val="20"/>
          <w:szCs w:val="20"/>
        </w:rPr>
        <w:t>Madam/Dear Sir,</w:t>
      </w:r>
    </w:p>
    <w:p w:rsidR="00826BFA" w:rsidRDefault="00826BFA" w:rsidP="00826BFA">
      <w:pPr>
        <w:pStyle w:val="head"/>
        <w:rPr>
          <w:rFonts w:ascii="Arial" w:hAnsi="Arial" w:cs="Arial"/>
          <w:b/>
          <w:bCs/>
          <w:color w:val="000000"/>
          <w:sz w:val="20"/>
          <w:szCs w:val="20"/>
        </w:rPr>
      </w:pPr>
      <w:r>
        <w:rPr>
          <w:rFonts w:ascii="Arial" w:hAnsi="Arial" w:cs="Arial"/>
          <w:b/>
          <w:bCs/>
          <w:color w:val="000000"/>
          <w:sz w:val="20"/>
          <w:szCs w:val="20"/>
        </w:rPr>
        <w:t>Banks' Exposure to Capital Market -</w:t>
      </w:r>
      <w:r>
        <w:rPr>
          <w:rFonts w:ascii="Arial" w:hAnsi="Arial" w:cs="Arial"/>
          <w:b/>
          <w:bCs/>
          <w:color w:val="000000"/>
          <w:sz w:val="20"/>
          <w:szCs w:val="20"/>
        </w:rPr>
        <w:br/>
      </w:r>
      <w:r>
        <w:rPr>
          <w:rFonts w:ascii="Arial" w:hAnsi="Arial" w:cs="Arial"/>
          <w:b/>
          <w:bCs/>
          <w:color w:val="000000"/>
          <w:sz w:val="20"/>
          <w:szCs w:val="20"/>
          <w:u w:val="single"/>
        </w:rPr>
        <w:t>Issue of Irrevocable Payment Commitments (IPCs)</w:t>
      </w:r>
    </w:p>
    <w:p w:rsidR="00826BFA" w:rsidRDefault="00826BFA" w:rsidP="00826BFA">
      <w:pPr>
        <w:pStyle w:val="NormalWeb"/>
        <w:jc w:val="both"/>
        <w:rPr>
          <w:rFonts w:ascii="Arial" w:hAnsi="Arial" w:cs="Arial"/>
          <w:color w:val="000000"/>
          <w:sz w:val="20"/>
          <w:szCs w:val="20"/>
        </w:rPr>
      </w:pPr>
      <w:r>
        <w:rPr>
          <w:rFonts w:ascii="Arial" w:hAnsi="Arial" w:cs="Arial"/>
          <w:color w:val="000000"/>
          <w:sz w:val="20"/>
          <w:szCs w:val="20"/>
        </w:rPr>
        <w:t>Please refer to </w:t>
      </w:r>
      <w:hyperlink r:id="rId7" w:tgtFrame="_blank" w:history="1">
        <w:r>
          <w:rPr>
            <w:rStyle w:val="Hyperlink"/>
            <w:rFonts w:ascii="Arial" w:hAnsi="Arial" w:cs="Arial"/>
            <w:sz w:val="20"/>
            <w:szCs w:val="20"/>
            <w:u w:val="none"/>
          </w:rPr>
          <w:t>circular DBOD.Dir.BC.68/13.03.00/2011-12 dated December 27, 2011</w:t>
        </w:r>
      </w:hyperlink>
      <w:r>
        <w:rPr>
          <w:rFonts w:ascii="Arial" w:hAnsi="Arial" w:cs="Arial"/>
          <w:color w:val="000000"/>
          <w:sz w:val="20"/>
          <w:szCs w:val="20"/>
        </w:rPr>
        <w:t> on “Banks' Exposure to Capital Market - Issue of Irrevocable Payment Commitments (IPCs)” and mailbox clarification dated September 11, 2012 on “Applicability of Irrevocable Payment Commitments”.</w:t>
      </w:r>
    </w:p>
    <w:p w:rsidR="00826BFA" w:rsidRDefault="00826BFA" w:rsidP="00826BFA">
      <w:pPr>
        <w:pStyle w:val="NormalWeb"/>
        <w:jc w:val="both"/>
        <w:rPr>
          <w:rFonts w:ascii="Arial" w:hAnsi="Arial" w:cs="Arial"/>
          <w:color w:val="000000"/>
          <w:sz w:val="20"/>
          <w:szCs w:val="20"/>
        </w:rPr>
      </w:pPr>
      <w:r>
        <w:rPr>
          <w:rFonts w:ascii="Arial" w:hAnsi="Arial" w:cs="Arial"/>
          <w:color w:val="000000"/>
          <w:sz w:val="20"/>
          <w:szCs w:val="20"/>
        </w:rPr>
        <w:t xml:space="preserve">2. The risk mitigation measures prescribed in the </w:t>
      </w:r>
      <w:proofErr w:type="gramStart"/>
      <w:r>
        <w:rPr>
          <w:rFonts w:ascii="Arial" w:hAnsi="Arial" w:cs="Arial"/>
          <w:color w:val="000000"/>
          <w:sz w:val="20"/>
          <w:szCs w:val="20"/>
        </w:rPr>
        <w:t>aforesaid</w:t>
      </w:r>
      <w:proofErr w:type="gramEnd"/>
      <w:r>
        <w:rPr>
          <w:rFonts w:ascii="Arial" w:hAnsi="Arial" w:cs="Arial"/>
          <w:color w:val="000000"/>
          <w:sz w:val="20"/>
          <w:szCs w:val="20"/>
        </w:rPr>
        <w:t xml:space="preserve"> circular were based on T+2 rolling settlement for equities (T being the Trade day). The Stock Exchanges have since introduced T+</w:t>
      </w:r>
      <w:proofErr w:type="gramStart"/>
      <w:r>
        <w:rPr>
          <w:rFonts w:ascii="Arial" w:hAnsi="Arial" w:cs="Arial"/>
          <w:color w:val="000000"/>
          <w:sz w:val="20"/>
          <w:szCs w:val="20"/>
        </w:rPr>
        <w:t>1</w:t>
      </w:r>
      <w:proofErr w:type="gramEnd"/>
      <w:r>
        <w:rPr>
          <w:rFonts w:ascii="Arial" w:hAnsi="Arial" w:cs="Arial"/>
          <w:color w:val="000000"/>
          <w:sz w:val="20"/>
          <w:szCs w:val="20"/>
        </w:rPr>
        <w:t xml:space="preserve"> rolling settlement, and accordingly the extant guidelines on issuance of IPCs by banks have been reviewed. Henceforth, all IPCs issued by custodian banks under the T+</w:t>
      </w:r>
      <w:proofErr w:type="gramStart"/>
      <w:r>
        <w:rPr>
          <w:rFonts w:ascii="Arial" w:hAnsi="Arial" w:cs="Arial"/>
          <w:color w:val="000000"/>
          <w:sz w:val="20"/>
          <w:szCs w:val="20"/>
        </w:rPr>
        <w:t>1</w:t>
      </w:r>
      <w:proofErr w:type="gramEnd"/>
      <w:r>
        <w:rPr>
          <w:rFonts w:ascii="Arial" w:hAnsi="Arial" w:cs="Arial"/>
          <w:color w:val="000000"/>
          <w:sz w:val="20"/>
          <w:szCs w:val="20"/>
        </w:rPr>
        <w:t xml:space="preserve"> settlement cycle shall comply with the following instructions:</w:t>
      </w:r>
    </w:p>
    <w:p w:rsidR="00826BFA" w:rsidRDefault="00826BFA" w:rsidP="00826B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Only those custodian banks </w:t>
      </w:r>
      <w:proofErr w:type="gramStart"/>
      <w:r>
        <w:rPr>
          <w:rFonts w:ascii="Arial" w:hAnsi="Arial" w:cs="Arial"/>
          <w:color w:val="000000"/>
          <w:sz w:val="20"/>
          <w:szCs w:val="20"/>
        </w:rPr>
        <w:t>will be permitted</w:t>
      </w:r>
      <w:proofErr w:type="gramEnd"/>
      <w:r>
        <w:rPr>
          <w:rFonts w:ascii="Arial" w:hAnsi="Arial" w:cs="Arial"/>
          <w:color w:val="000000"/>
          <w:sz w:val="20"/>
          <w:szCs w:val="20"/>
        </w:rPr>
        <w:t xml:space="preserve"> to issue IPCs, who have a clause in the Agreement with clients giving the banks an inalienable right over the securities to be received as pay out in any settlement. However, this clause will not be insisted upon if the transactions are pre-funded i.e., either clear INR funds are available in the customer’s account or, in case of FX </w:t>
      </w:r>
      <w:proofErr w:type="gramStart"/>
      <w:r>
        <w:rPr>
          <w:rFonts w:ascii="Arial" w:hAnsi="Arial" w:cs="Arial"/>
          <w:color w:val="000000"/>
          <w:sz w:val="20"/>
          <w:szCs w:val="20"/>
        </w:rPr>
        <w:t>deals,</w:t>
      </w:r>
      <w:proofErr w:type="gramEnd"/>
      <w:r>
        <w:rPr>
          <w:rFonts w:ascii="Arial" w:hAnsi="Arial" w:cs="Arial"/>
          <w:color w:val="000000"/>
          <w:sz w:val="20"/>
          <w:szCs w:val="20"/>
        </w:rPr>
        <w:t xml:space="preserve"> the bank’s </w:t>
      </w:r>
      <w:proofErr w:type="spellStart"/>
      <w:r>
        <w:rPr>
          <w:rFonts w:ascii="Arial" w:hAnsi="Arial" w:cs="Arial"/>
          <w:color w:val="000000"/>
          <w:sz w:val="20"/>
          <w:szCs w:val="20"/>
        </w:rPr>
        <w:t>nostro</w:t>
      </w:r>
      <w:proofErr w:type="spellEnd"/>
      <w:r>
        <w:rPr>
          <w:rFonts w:ascii="Arial" w:hAnsi="Arial" w:cs="Arial"/>
          <w:color w:val="000000"/>
          <w:sz w:val="20"/>
          <w:szCs w:val="20"/>
        </w:rPr>
        <w:t xml:space="preserve"> account has been credited before the issuance of the IPC.</w:t>
      </w:r>
    </w:p>
    <w:p w:rsidR="00826BFA" w:rsidRDefault="00826BFA" w:rsidP="00826B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The maximum intraday risk to the custodian banks issuing IPCs </w:t>
      </w:r>
      <w:proofErr w:type="gramStart"/>
      <w:r>
        <w:rPr>
          <w:rFonts w:ascii="Arial" w:hAnsi="Arial" w:cs="Arial"/>
          <w:color w:val="000000"/>
          <w:sz w:val="20"/>
          <w:szCs w:val="20"/>
        </w:rPr>
        <w:t>would be reckoned</w:t>
      </w:r>
      <w:proofErr w:type="gramEnd"/>
      <w:r>
        <w:rPr>
          <w:rFonts w:ascii="Arial" w:hAnsi="Arial" w:cs="Arial"/>
          <w:color w:val="000000"/>
          <w:sz w:val="20"/>
          <w:szCs w:val="20"/>
        </w:rPr>
        <w:t xml:space="preserve"> as Capital Market Exposure (CME) at 30 percent of the settlement amount. This </w:t>
      </w:r>
      <w:proofErr w:type="gramStart"/>
      <w:r>
        <w:rPr>
          <w:rFonts w:ascii="Arial" w:hAnsi="Arial" w:cs="Arial"/>
          <w:color w:val="000000"/>
          <w:sz w:val="20"/>
          <w:szCs w:val="20"/>
        </w:rPr>
        <w:t>is based</w:t>
      </w:r>
      <w:proofErr w:type="gramEnd"/>
      <w:r>
        <w:rPr>
          <w:rFonts w:ascii="Arial" w:hAnsi="Arial" w:cs="Arial"/>
          <w:color w:val="000000"/>
          <w:sz w:val="20"/>
          <w:szCs w:val="20"/>
        </w:rPr>
        <w:t xml:space="preserve"> on the assumption of 20 percent downward price movement of the equities on T+1, with an additional margin of 10 percent for further downward movement of price.</w:t>
      </w:r>
    </w:p>
    <w:p w:rsidR="00826BFA" w:rsidRDefault="00826BFA" w:rsidP="00826B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 xml:space="preserve">In case margin </w:t>
      </w:r>
      <w:proofErr w:type="gramStart"/>
      <w:r>
        <w:rPr>
          <w:rFonts w:ascii="Arial" w:hAnsi="Arial" w:cs="Arial"/>
          <w:color w:val="000000"/>
          <w:sz w:val="20"/>
          <w:szCs w:val="20"/>
        </w:rPr>
        <w:t>is paid</w:t>
      </w:r>
      <w:proofErr w:type="gramEnd"/>
      <w:r>
        <w:rPr>
          <w:rFonts w:ascii="Arial" w:hAnsi="Arial" w:cs="Arial"/>
          <w:color w:val="000000"/>
          <w:sz w:val="20"/>
          <w:szCs w:val="20"/>
        </w:rPr>
        <w:t xml:space="preserve"> in cash, the exposure will stand reduced by the amount of margin paid. In case margin </w:t>
      </w:r>
      <w:proofErr w:type="gramStart"/>
      <w:r>
        <w:rPr>
          <w:rFonts w:ascii="Arial" w:hAnsi="Arial" w:cs="Arial"/>
          <w:color w:val="000000"/>
          <w:sz w:val="20"/>
          <w:szCs w:val="20"/>
        </w:rPr>
        <w:t>is paid</w:t>
      </w:r>
      <w:proofErr w:type="gramEnd"/>
      <w:r>
        <w:rPr>
          <w:rFonts w:ascii="Arial" w:hAnsi="Arial" w:cs="Arial"/>
          <w:color w:val="000000"/>
          <w:sz w:val="20"/>
          <w:szCs w:val="20"/>
        </w:rPr>
        <w:t xml:space="preserve"> by way of permitted securities to Mutual Funds / Foreign Portfolio Investors, the exposure will stand reduced by the amount of margin after adjusting for haircut as prescribed by the Exchange on the permitted securities accepted as margin.</w:t>
      </w:r>
    </w:p>
    <w:p w:rsidR="00826BFA" w:rsidRDefault="00826BFA" w:rsidP="00826B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Under T+</w:t>
      </w:r>
      <w:proofErr w:type="gramStart"/>
      <w:r>
        <w:rPr>
          <w:rFonts w:ascii="Arial" w:hAnsi="Arial" w:cs="Arial"/>
          <w:color w:val="000000"/>
          <w:sz w:val="20"/>
          <w:szCs w:val="20"/>
        </w:rPr>
        <w:t>1</w:t>
      </w:r>
      <w:proofErr w:type="gramEnd"/>
      <w:r>
        <w:rPr>
          <w:rFonts w:ascii="Arial" w:hAnsi="Arial" w:cs="Arial"/>
          <w:color w:val="000000"/>
          <w:sz w:val="20"/>
          <w:szCs w:val="20"/>
        </w:rPr>
        <w:t xml:space="preserve"> settlement cycle, the exposure shall normally be for intraday. However, in case any exposure remains outstanding at the end of T+1 Indian Standard Time, capital will have to be maintained on the outstanding capital market exposure in terms of the </w:t>
      </w:r>
      <w:hyperlink r:id="rId8" w:tgtFrame="_blank" w:history="1">
        <w:r>
          <w:rPr>
            <w:rStyle w:val="Hyperlink"/>
            <w:rFonts w:ascii="Arial" w:hAnsi="Arial" w:cs="Arial"/>
            <w:sz w:val="20"/>
            <w:szCs w:val="20"/>
            <w:u w:val="none"/>
          </w:rPr>
          <w:t>Master Circular – Basel III Capital Regulations dated April 1, 2024</w:t>
        </w:r>
      </w:hyperlink>
      <w:r>
        <w:rPr>
          <w:rFonts w:ascii="Arial" w:hAnsi="Arial" w:cs="Arial"/>
          <w:color w:val="000000"/>
          <w:sz w:val="20"/>
          <w:szCs w:val="20"/>
        </w:rPr>
        <w:t>, as amended from time to time.</w:t>
      </w:r>
    </w:p>
    <w:p w:rsidR="00826BFA" w:rsidRDefault="00826BFA" w:rsidP="00826BFA">
      <w:pPr>
        <w:pStyle w:val="NormalWeb"/>
        <w:numPr>
          <w:ilvl w:val="0"/>
          <w:numId w:val="2"/>
        </w:numPr>
        <w:ind w:left="0"/>
        <w:jc w:val="both"/>
        <w:rPr>
          <w:rFonts w:ascii="Arial" w:hAnsi="Arial" w:cs="Arial"/>
          <w:color w:val="000000"/>
          <w:sz w:val="20"/>
          <w:szCs w:val="20"/>
        </w:rPr>
      </w:pPr>
      <w:r>
        <w:rPr>
          <w:rFonts w:ascii="Arial" w:hAnsi="Arial" w:cs="Arial"/>
          <w:color w:val="000000"/>
          <w:sz w:val="20"/>
          <w:szCs w:val="20"/>
        </w:rPr>
        <w:t>The underlying exposures of banks to their counterparties, emanating from the intraday CME, will be subject to limits prescribed under </w:t>
      </w:r>
      <w:hyperlink r:id="rId9" w:tgtFrame="_blank" w:history="1">
        <w:r>
          <w:rPr>
            <w:rStyle w:val="Hyperlink"/>
            <w:rFonts w:ascii="Arial" w:hAnsi="Arial" w:cs="Arial"/>
            <w:sz w:val="20"/>
            <w:szCs w:val="20"/>
            <w:u w:val="none"/>
          </w:rPr>
          <w:t>Large Exposure Framework dated June 3, 2019</w:t>
        </w:r>
      </w:hyperlink>
      <w:r>
        <w:rPr>
          <w:rFonts w:ascii="Arial" w:hAnsi="Arial" w:cs="Arial"/>
          <w:color w:val="000000"/>
          <w:sz w:val="20"/>
          <w:szCs w:val="20"/>
        </w:rPr>
        <w:t>, as amended from time to time.</w:t>
      </w:r>
    </w:p>
    <w:p w:rsidR="00826BFA" w:rsidRDefault="00826BFA" w:rsidP="00826BFA">
      <w:pPr>
        <w:pStyle w:val="NoSpacing"/>
      </w:pPr>
      <w:r>
        <w:t>3. The instructions contained in </w:t>
      </w:r>
      <w:hyperlink r:id="rId10" w:tgtFrame="_blank" w:history="1">
        <w:r>
          <w:rPr>
            <w:rStyle w:val="Hyperlink"/>
            <w:rFonts w:ascii="Arial" w:hAnsi="Arial" w:cs="Arial"/>
            <w:sz w:val="20"/>
            <w:szCs w:val="20"/>
            <w:u w:val="none"/>
          </w:rPr>
          <w:t>circular DBOD.Dir.BC.68/13.03.00/2011-12 dated December 27, 2011</w:t>
        </w:r>
      </w:hyperlink>
      <w:r>
        <w:t> on ‘Banks' Exposure to Capital Market - Issue of Irrevocable Payment Commitments (IPCs)’ shall continue to remain valid for T+</w:t>
      </w:r>
      <w:proofErr w:type="gramStart"/>
      <w:r>
        <w:t>2 settlement</w:t>
      </w:r>
      <w:proofErr w:type="gramEnd"/>
      <w:r>
        <w:t xml:space="preserve"> cycle.</w:t>
      </w:r>
    </w:p>
    <w:p w:rsidR="00826BFA" w:rsidRDefault="00826BFA" w:rsidP="00826BFA">
      <w:pPr>
        <w:pStyle w:val="NoSpacing"/>
      </w:pPr>
      <w:r>
        <w:t>4. These instructions shall come into force with immediate effect.</w:t>
      </w:r>
    </w:p>
    <w:p w:rsidR="00826BFA" w:rsidRDefault="00826BFA" w:rsidP="00826BFA">
      <w:pPr>
        <w:pStyle w:val="NormalWeb"/>
        <w:jc w:val="both"/>
        <w:rPr>
          <w:rFonts w:ascii="Arial" w:hAnsi="Arial" w:cs="Arial"/>
          <w:color w:val="000000"/>
          <w:sz w:val="20"/>
          <w:szCs w:val="20"/>
        </w:rPr>
      </w:pPr>
      <w:r>
        <w:rPr>
          <w:rFonts w:ascii="Arial" w:hAnsi="Arial" w:cs="Arial"/>
          <w:color w:val="000000"/>
          <w:sz w:val="20"/>
          <w:szCs w:val="20"/>
        </w:rPr>
        <w:t>Yours faithfully,</w:t>
      </w:r>
    </w:p>
    <w:p w:rsidR="00826BFA" w:rsidRDefault="00826BFA" w:rsidP="00826BF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826BFA" w:rsidRPr="00F96D85" w:rsidRDefault="00826BFA" w:rsidP="00AB1E33">
      <w:pPr>
        <w:pStyle w:val="NormalWeb"/>
      </w:pPr>
      <w:r w:rsidRPr="00826BFA">
        <w:rPr>
          <w:rFonts w:ascii="Arial" w:hAnsi="Arial" w:cs="Arial"/>
          <w:color w:val="000000"/>
          <w:sz w:val="20"/>
          <w:szCs w:val="20"/>
        </w:rPr>
        <w:t xml:space="preserve">For more details, kindly </w:t>
      </w:r>
      <w:proofErr w:type="gramStart"/>
      <w:r w:rsidRPr="00826BFA">
        <w:rPr>
          <w:rFonts w:ascii="Arial" w:hAnsi="Arial" w:cs="Arial"/>
          <w:color w:val="000000"/>
          <w:sz w:val="20"/>
          <w:szCs w:val="20"/>
        </w:rPr>
        <w:t>refer:</w:t>
      </w:r>
      <w:proofErr w:type="gramEnd"/>
      <w:r>
        <w:rPr>
          <w:rFonts w:ascii="Arial" w:hAnsi="Arial" w:cs="Arial"/>
          <w:color w:val="000000"/>
          <w:sz w:val="20"/>
          <w:szCs w:val="20"/>
        </w:rPr>
        <w:t xml:space="preserve"> </w:t>
      </w:r>
      <w:hyperlink r:id="rId11" w:history="1">
        <w:r w:rsidRPr="00FA79CC">
          <w:rPr>
            <w:rStyle w:val="Hyperlink"/>
            <w:rFonts w:ascii="Arial" w:hAnsi="Arial" w:cs="Arial"/>
            <w:sz w:val="20"/>
            <w:szCs w:val="20"/>
          </w:rPr>
          <w:t>https://www.rbi.org.in/Scripts/NotificationUser.aspx?Id=12681&amp;Mode=0</w:t>
        </w:r>
      </w:hyperlink>
      <w:r>
        <w:rPr>
          <w:rFonts w:ascii="Arial" w:hAnsi="Arial" w:cs="Arial"/>
          <w:color w:val="000000"/>
          <w:sz w:val="20"/>
          <w:szCs w:val="20"/>
        </w:rPr>
        <w:t xml:space="preserve"> </w:t>
      </w:r>
      <w:bookmarkStart w:id="0" w:name="_GoBack"/>
      <w:bookmarkEnd w:id="0"/>
    </w:p>
    <w:sectPr w:rsidR="00826BFA" w:rsidRPr="00F96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07162"/>
    <w:multiLevelType w:val="multilevel"/>
    <w:tmpl w:val="31FA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34396"/>
    <w:multiLevelType w:val="multilevel"/>
    <w:tmpl w:val="1F80F5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30"/>
    <w:rsid w:val="00097D4C"/>
    <w:rsid w:val="008176BF"/>
    <w:rsid w:val="00825000"/>
    <w:rsid w:val="00826BFA"/>
    <w:rsid w:val="00AB1E33"/>
    <w:rsid w:val="00CE3130"/>
    <w:rsid w:val="00F96D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3C06"/>
  <w15:chartTrackingRefBased/>
  <w15:docId w15:val="{26D455AC-98D4-403E-ACEB-AEAB9B0C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D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D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D4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097D4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97D4C"/>
    <w:rPr>
      <w:color w:val="0000FF"/>
      <w:u w:val="single"/>
    </w:rPr>
  </w:style>
  <w:style w:type="paragraph" w:styleId="NoSpacing">
    <w:name w:val="No Spacing"/>
    <w:uiPriority w:val="1"/>
    <w:qFormat/>
    <w:rsid w:val="00826B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9208">
      <w:bodyDiv w:val="1"/>
      <w:marLeft w:val="0"/>
      <w:marRight w:val="0"/>
      <w:marTop w:val="0"/>
      <w:marBottom w:val="0"/>
      <w:divBdr>
        <w:top w:val="none" w:sz="0" w:space="0" w:color="auto"/>
        <w:left w:val="none" w:sz="0" w:space="0" w:color="auto"/>
        <w:bottom w:val="none" w:sz="0" w:space="0" w:color="auto"/>
        <w:right w:val="none" w:sz="0" w:space="0" w:color="auto"/>
      </w:divBdr>
    </w:div>
    <w:div w:id="257641597">
      <w:bodyDiv w:val="1"/>
      <w:marLeft w:val="0"/>
      <w:marRight w:val="0"/>
      <w:marTop w:val="0"/>
      <w:marBottom w:val="0"/>
      <w:divBdr>
        <w:top w:val="none" w:sz="0" w:space="0" w:color="auto"/>
        <w:left w:val="none" w:sz="0" w:space="0" w:color="auto"/>
        <w:bottom w:val="none" w:sz="0" w:space="0" w:color="auto"/>
        <w:right w:val="none" w:sz="0" w:space="0" w:color="auto"/>
      </w:divBdr>
    </w:div>
    <w:div w:id="1110928982">
      <w:bodyDiv w:val="1"/>
      <w:marLeft w:val="0"/>
      <w:marRight w:val="0"/>
      <w:marTop w:val="0"/>
      <w:marBottom w:val="0"/>
      <w:divBdr>
        <w:top w:val="none" w:sz="0" w:space="0" w:color="auto"/>
        <w:left w:val="none" w:sz="0" w:space="0" w:color="auto"/>
        <w:bottom w:val="none" w:sz="0" w:space="0" w:color="auto"/>
        <w:right w:val="none" w:sz="0" w:space="0" w:color="auto"/>
      </w:divBdr>
    </w:div>
    <w:div w:id="16412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Circulardetails.aspx?id=126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bi.org.in/Scripts/NotificationUser.aspx?Id=6903&amp;Mode=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bi.org.in/Scripts/NotificationUser.aspx?Id=12639&amp;Mode=0" TargetMode="External"/><Relationship Id="rId11" Type="http://schemas.openxmlformats.org/officeDocument/2006/relationships/hyperlink" Target="https://www.rbi.org.in/Scripts/NotificationUser.aspx?Id=12681&amp;Mode=0" TargetMode="External"/><Relationship Id="rId5" Type="http://schemas.openxmlformats.org/officeDocument/2006/relationships/hyperlink" Target="https://www.rbi.org.in/Scripts/NotificationUser.aspx?Id=12572&amp;Mode=0" TargetMode="External"/><Relationship Id="rId10" Type="http://schemas.openxmlformats.org/officeDocument/2006/relationships/hyperlink" Target="https://www.rbi.org.in/Scripts/NotificationUser.aspx?Id=6903&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1573&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5</cp:revision>
  <dcterms:created xsi:type="dcterms:W3CDTF">2024-08-20T11:31:00Z</dcterms:created>
  <dcterms:modified xsi:type="dcterms:W3CDTF">2024-08-20T11:34:00Z</dcterms:modified>
</cp:coreProperties>
</file>